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6460" w14:textId="77777777" w:rsidR="00C43732" w:rsidRPr="00C43732" w:rsidRDefault="00C43732" w:rsidP="00C43732">
      <w:r w:rsidRPr="00C43732">
        <w:t>    (g)    </w:t>
      </w:r>
      <w:r w:rsidRPr="00C43732">
        <w:rPr>
          <w:u w:val="single"/>
        </w:rPr>
        <w:t>Detached Decks, Patio Fireplaces, Play Structures, Gazebos, &amp; Pergolas.</w:t>
      </w:r>
      <w:r w:rsidRPr="00C43732">
        <w:t> A detached deck, patio fireplace, play structure, pergola, gazebo, or similar structure shall be considered a permitted accessory use and shall be subject to the following regulations:</w:t>
      </w:r>
    </w:p>
    <w:p w14:paraId="5763B73A" w14:textId="77777777" w:rsidR="00C43732" w:rsidRPr="00C43732" w:rsidRDefault="00C43732" w:rsidP="00C43732">
      <w:r w:rsidRPr="00C43732">
        <w:t xml:space="preserve">            (1)    No detached deck or horizontal surface shall exceed three (3) feet in height. but </w:t>
      </w:r>
      <w:proofErr w:type="gramStart"/>
      <w:r w:rsidRPr="00C43732">
        <w:t>The</w:t>
      </w:r>
      <w:proofErr w:type="gramEnd"/>
      <w:r w:rsidRPr="00C43732">
        <w:t xml:space="preserve"> maximum height of all other structures shall be twelve (12) feet. All such structures shall be at least seven (7) feet from any property </w:t>
      </w:r>
      <w:proofErr w:type="gramStart"/>
      <w:r w:rsidRPr="00C43732">
        <w:t>line;</w:t>
      </w:r>
      <w:proofErr w:type="gramEnd"/>
    </w:p>
    <w:p w14:paraId="27790BC1" w14:textId="77777777" w:rsidR="00C43732" w:rsidRPr="00C43732" w:rsidRDefault="00C43732" w:rsidP="00C43732">
      <w:r w:rsidRPr="00C43732">
        <w:t>            (2)    The part of a play structure that is under a roof shall not be greater than fifty (50) square feet in area. For the purposes of this sub-section, slides, swings and similar play equipment shall not be included in the calculation for total surface area; and,</w:t>
      </w:r>
    </w:p>
    <w:p w14:paraId="69C4C33A" w14:textId="77777777" w:rsidR="00C43732" w:rsidRPr="00C43732" w:rsidRDefault="00C43732" w:rsidP="00C43732">
      <w:r w:rsidRPr="00C43732">
        <w:t>            (3)    The total area of any built-in, horizontal surface that is an integral part of the structure (platform area including any covered area and any elevated platforms) shall not exceed two hundred fifty (250) square feet.</w:t>
      </w:r>
    </w:p>
    <w:p w14:paraId="1B0CE165" w14:textId="77777777" w:rsidR="00422790" w:rsidRDefault="00422790"/>
    <w:sectPr w:rsidR="00422790" w:rsidSect="00C43732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32"/>
    <w:rsid w:val="00255B88"/>
    <w:rsid w:val="00422790"/>
    <w:rsid w:val="004B578D"/>
    <w:rsid w:val="0061406F"/>
    <w:rsid w:val="00800FC7"/>
    <w:rsid w:val="00930CD5"/>
    <w:rsid w:val="009C46D3"/>
    <w:rsid w:val="00C4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086EC"/>
  <w15:chartTrackingRefBased/>
  <w15:docId w15:val="{CEE95D97-5486-4610-83AE-12667DD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891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490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75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73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38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124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784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06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1</cp:revision>
  <dcterms:created xsi:type="dcterms:W3CDTF">2025-07-03T15:50:00Z</dcterms:created>
  <dcterms:modified xsi:type="dcterms:W3CDTF">2025-07-03T15:51:00Z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2786952f-9b89-4a61-b579-ced8bcc5776d</vt:lpwstr>
  </property>
</Properties>
</file>