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2D00990C" w:rsidR="00F3694E" w:rsidRPr="00F3694E" w:rsidRDefault="00500FEA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94E"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3960A7A2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0946E7">
        <w:rPr>
          <w:rFonts w:ascii="Times New Roman" w:hAnsi="Times New Roman" w:cs="Times New Roman"/>
          <w:sz w:val="24"/>
          <w:szCs w:val="24"/>
        </w:rPr>
        <w:t xml:space="preserve">JUNE </w:t>
      </w:r>
      <w:r w:rsidR="004033E1">
        <w:rPr>
          <w:rFonts w:ascii="Times New Roman" w:hAnsi="Times New Roman" w:cs="Times New Roman"/>
          <w:sz w:val="24"/>
          <w:szCs w:val="24"/>
        </w:rPr>
        <w:t>26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2B0BC7D2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14:paraId="73F7CD45" w14:textId="77777777" w:rsidR="00297E74" w:rsidRPr="00434BE8" w:rsidRDefault="00297E74" w:rsidP="00102E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8CF5C3" w14:textId="77777777" w:rsidR="00D66179" w:rsidRDefault="00D66179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948B6D" w14:textId="6BBFC44F" w:rsidR="00513BAB" w:rsidRDefault="00D66179" w:rsidP="005025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0E06BB0C" w14:textId="77777777" w:rsidR="00D66179" w:rsidRDefault="00D66179" w:rsidP="005025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9F7704" w14:textId="77777777" w:rsidR="00D66179" w:rsidRDefault="00D66179" w:rsidP="005025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BDEBB8" w14:textId="77777777" w:rsidR="00D66179" w:rsidRDefault="00D66179" w:rsidP="005025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F73E3D" w14:textId="77777777" w:rsidR="00D66179" w:rsidRDefault="00D66179" w:rsidP="005025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E0FC82" w14:textId="77777777" w:rsidR="00D66179" w:rsidRDefault="00D66179" w:rsidP="005025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2B35CF" w14:textId="77777777" w:rsidR="00D66179" w:rsidRDefault="00D66179" w:rsidP="005025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CBA4D1" w14:textId="77777777" w:rsidR="00D66179" w:rsidRDefault="00D66179" w:rsidP="005025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6787F9" w14:textId="77777777" w:rsidR="00D66179" w:rsidRPr="005025FE" w:rsidRDefault="00D66179" w:rsidP="00D661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44815A07" w14:textId="77777777" w:rsidR="00D66179" w:rsidRPr="005025FE" w:rsidRDefault="00D66179" w:rsidP="005025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AA1CBE" w14:textId="7A137EBC" w:rsidR="004315DE" w:rsidRPr="004315DE" w:rsidRDefault="004315DE" w:rsidP="004033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D2523F" w14:textId="77777777" w:rsidR="004315DE" w:rsidRDefault="004315DE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7F634A5D" w:rsidR="00153D31" w:rsidRDefault="00D66179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READING</w:t>
            </w:r>
          </w:p>
          <w:p w14:paraId="7BCEF25A" w14:textId="6CC149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1292C" w14:textId="77777777" w:rsidR="00D66179" w:rsidRDefault="00D66179" w:rsidP="00D66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READING</w:t>
            </w:r>
          </w:p>
          <w:p w14:paraId="6EB35DBD" w14:textId="721FFC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004B7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E9DD1C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A06AB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00B3E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9B0871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A95931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CC9306" w14:textId="77777777" w:rsidR="00644044" w:rsidRDefault="00644044" w:rsidP="00644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nd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READING</w:t>
            </w:r>
          </w:p>
          <w:p w14:paraId="5BA407D0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772EA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CD15C8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C08199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AE9F5E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2A85A9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3B040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CA481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5D41E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A1B3AF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3BA265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90EF9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8D390C" w14:textId="1E303249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64404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1DDF35B7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103704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E1D63F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BFFFE5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38DEB7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CF6C" w14:textId="77777777" w:rsidR="00644044" w:rsidRDefault="00644044" w:rsidP="00644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64404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101D7B45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65A216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65DEC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643ED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3D9D0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E5DBA4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115BB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1A7C0C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1E681" w14:textId="77777777" w:rsidR="00644044" w:rsidRDefault="00644044" w:rsidP="00644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64404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486CF1B7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5EE644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F311C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8D72CC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5A73D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82CF0B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2E46F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BB25AF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F927C7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9A6A5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C364" w14:textId="77777777" w:rsidR="00644044" w:rsidRDefault="00644044" w:rsidP="00644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64404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431B8A9F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35D29D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CCA047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9151C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BF33A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EF312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7D3C26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2BBE1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1DAA7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FD5DC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D53A8" w14:textId="77777777" w:rsidR="00644044" w:rsidRDefault="00644044" w:rsidP="00644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64404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32D1A9D6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98C861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E74937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D5D8A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427DA8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7620C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553D2B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F42A2C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2686E6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DDAD2" w14:textId="77777777" w:rsidR="00644044" w:rsidRDefault="00644044" w:rsidP="00644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64404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READING</w:t>
            </w:r>
          </w:p>
          <w:p w14:paraId="707C6078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9B2D5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392A0DC6" w14:textId="4FB8365C" w:rsidR="001F2FB2" w:rsidRDefault="00153D31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4C4AD86C" w14:textId="77777777" w:rsidR="00C002BE" w:rsidRDefault="00C002BE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271601B" w14:textId="49A13C67" w:rsidR="006025F0" w:rsidRDefault="006025F0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11F87" w14:textId="7BB00169" w:rsidR="003D2985" w:rsidRDefault="000946E7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34D23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  <w:p w14:paraId="79800D81" w14:textId="77777777" w:rsidR="00334D23" w:rsidRDefault="00334D23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C688A" w14:textId="77777777" w:rsidR="00334D23" w:rsidRDefault="00334D23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EC5AA" w14:textId="77777777" w:rsidR="00334D23" w:rsidRDefault="00334D23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A4DE0" w14:textId="77777777" w:rsidR="00334D23" w:rsidRDefault="00334D23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94AF1" w14:textId="77777777" w:rsidR="00C002BE" w:rsidRDefault="00C002BE" w:rsidP="00C00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65CA2" w14:textId="77777777" w:rsidR="000946E7" w:rsidRDefault="000946E7" w:rsidP="00C00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42116" w14:textId="1A02B7C3" w:rsidR="00334D23" w:rsidRDefault="00334D23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46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  <w:p w14:paraId="2DF1375B" w14:textId="77777777" w:rsidR="005025FE" w:rsidRDefault="005025FE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AD9D" w14:textId="77777777" w:rsidR="005025FE" w:rsidRDefault="005025FE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20236" w14:textId="77777777" w:rsidR="005025FE" w:rsidRDefault="005025FE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201E0" w14:textId="77777777" w:rsidR="005025FE" w:rsidRDefault="005025FE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97338" w14:textId="77777777" w:rsidR="004C4944" w:rsidRDefault="004C494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58847" w14:textId="77777777" w:rsidR="004C4944" w:rsidRDefault="004C494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BDBE8" w14:textId="77777777" w:rsidR="004C4944" w:rsidRDefault="004C494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B8BB1" w14:textId="77777777" w:rsidR="00C002BE" w:rsidRDefault="00C002BE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B6307" w14:textId="77777777" w:rsidR="004033E1" w:rsidRDefault="004033E1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34223" w14:textId="1784E57F" w:rsidR="00C002BE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46-23</w:t>
            </w:r>
          </w:p>
          <w:p w14:paraId="19F01F0E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E7271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65D6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BBF2D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F979" w14:textId="77777777" w:rsidR="008E1478" w:rsidRDefault="008E1478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A458E" w14:textId="5B3339D4" w:rsidR="008E1478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47-23</w:t>
            </w:r>
          </w:p>
          <w:p w14:paraId="0E519CA8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5DC2A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BBE0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E4A63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E46F5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05E2D" w14:textId="3A722CAD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48-23</w:t>
            </w:r>
          </w:p>
          <w:p w14:paraId="3BA20D08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B16CF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91F8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007D7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8EF29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770A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84990" w14:textId="76C81528" w:rsidR="00D530EA" w:rsidRDefault="00D530EA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4284D" w14:textId="77777777" w:rsidR="004C4944" w:rsidRDefault="004C494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BCBC6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E1376" w14:textId="40F0105C" w:rsidR="00D00302" w:rsidRDefault="002F6D66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49-23</w:t>
            </w:r>
          </w:p>
          <w:p w14:paraId="5E1F1DC7" w14:textId="77777777" w:rsidR="00E05809" w:rsidRDefault="00E05809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D26E2" w14:textId="77777777" w:rsidR="00E05809" w:rsidRDefault="00E05809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49B7F" w14:textId="77777777" w:rsidR="00E05809" w:rsidRDefault="00E05809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D1AE5" w14:textId="3DB34793" w:rsidR="00E05809" w:rsidRDefault="00E05809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50-23</w:t>
            </w:r>
          </w:p>
          <w:p w14:paraId="630AB3FD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AD739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B84CD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21A2A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F8AD9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6E883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4E75E" w14:textId="240439CB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51-23</w:t>
            </w:r>
          </w:p>
          <w:p w14:paraId="4D353B13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EC107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E00F1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DEEE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66BDE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DC0CC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621BE" w14:textId="77777777" w:rsidR="0089654C" w:rsidRDefault="0089654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8E28" w14:textId="5DF02989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52-23</w:t>
            </w:r>
          </w:p>
          <w:p w14:paraId="128DD431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FEFB5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A74A2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F9AFA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A4347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2D820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0F63D" w14:textId="77777777" w:rsidR="0089654C" w:rsidRDefault="0089654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47FF2" w14:textId="77DAB18F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53-23</w:t>
            </w:r>
          </w:p>
          <w:p w14:paraId="3144D92D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C24D9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22DAA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AD6C8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97BC6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1B6A" w14:textId="77777777" w:rsidR="0089654C" w:rsidRDefault="0089654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DFD8C" w14:textId="77777777" w:rsidR="0089654C" w:rsidRDefault="0089654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EB1D" w14:textId="65CD9B33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54-23</w:t>
            </w:r>
          </w:p>
          <w:p w14:paraId="5C57B2B9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EC43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453AE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CC77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8FD4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A0CDE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35227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35D7B" w14:textId="11D91C28" w:rsidR="00EC1FC4" w:rsidRDefault="00EC1FC4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1B38C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633B4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5E1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CDB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92FD4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838F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38AA3" w14:textId="1742B002" w:rsidR="00855154" w:rsidRDefault="00855154" w:rsidP="0050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F06B" w14:textId="77777777" w:rsidR="00840E3D" w:rsidRPr="000830C2" w:rsidRDefault="00840E3D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01877CBC" w14:textId="77777777" w:rsidR="000C6514" w:rsidRPr="008E223C" w:rsidRDefault="000C6514" w:rsidP="000C6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Pending Ordinances and Resolutions</w:t>
            </w:r>
          </w:p>
          <w:p w14:paraId="61144F9C" w14:textId="633F0C14" w:rsidR="00345576" w:rsidRDefault="00345576" w:rsidP="00345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5C5A6" w14:textId="192357AE" w:rsidR="000946E7" w:rsidRPr="000946E7" w:rsidRDefault="000946E7" w:rsidP="000946E7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0FBEDD" w14:textId="013E11F5" w:rsidR="000946E7" w:rsidRDefault="000946E7" w:rsidP="000946E7">
            <w:pPr>
              <w:pStyle w:val="PlainText"/>
              <w:rPr>
                <w:rFonts w:ascii="Times New Roman" w:hAnsi="Times New Roman"/>
                <w:bCs/>
              </w:rPr>
            </w:pP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A Resolution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Certification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f Unpaid Property Maintenance Costs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Cuyahoga County Fiscal Officer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or Collection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n Accordance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Laws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State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f Ohio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46E7">
              <w:rPr>
                <w:rFonts w:ascii="Times New Roman" w:hAnsi="Times New Roman"/>
                <w:bCs/>
              </w:rPr>
              <w:t>(</w:t>
            </w:r>
            <w:r w:rsidR="004033E1">
              <w:rPr>
                <w:rFonts w:ascii="Times New Roman" w:hAnsi="Times New Roman"/>
                <w:bCs/>
              </w:rPr>
              <w:t>3</w:t>
            </w:r>
            <w:r w:rsidR="004033E1" w:rsidRPr="004033E1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0946E7">
              <w:rPr>
                <w:rFonts w:ascii="Times New Roman" w:hAnsi="Times New Roman"/>
                <w:bCs/>
              </w:rPr>
              <w:t xml:space="preserve"> Reading)</w:t>
            </w:r>
          </w:p>
          <w:p w14:paraId="00169A68" w14:textId="77777777" w:rsidR="000946E7" w:rsidRPr="000946E7" w:rsidRDefault="000946E7" w:rsidP="000946E7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64E90C6A" w14:textId="77777777" w:rsidR="004033E1" w:rsidRDefault="000946E7" w:rsidP="004033E1">
            <w:pPr>
              <w:pStyle w:val="PlainText"/>
              <w:rPr>
                <w:rFonts w:ascii="Times New Roman" w:hAnsi="Times New Roman"/>
                <w:bCs/>
              </w:rPr>
            </w:pP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Safety-Service Director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 Purchase Two (2) Plow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nd Body Packages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or Previously Purchased 2023 International Hv507 Single-Axel Truck Chassis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Service Division Under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he </w:t>
            </w:r>
            <w:proofErr w:type="spellStart"/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>Sourcewell</w:t>
            </w:r>
            <w:proofErr w:type="spellEnd"/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 Cooperative Purchasing Contract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rom Henderson Products, Inc.,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o Exceed $259,484.00,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0946E7">
              <w:rPr>
                <w:rFonts w:ascii="Times New Roman" w:hAnsi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33E1" w:rsidRPr="000946E7">
              <w:rPr>
                <w:rFonts w:ascii="Times New Roman" w:hAnsi="Times New Roman"/>
                <w:bCs/>
              </w:rPr>
              <w:t>(</w:t>
            </w:r>
            <w:r w:rsidR="004033E1">
              <w:rPr>
                <w:rFonts w:ascii="Times New Roman" w:hAnsi="Times New Roman"/>
                <w:bCs/>
              </w:rPr>
              <w:t>3</w:t>
            </w:r>
            <w:r w:rsidR="004033E1" w:rsidRPr="004033E1">
              <w:rPr>
                <w:rFonts w:ascii="Times New Roman" w:hAnsi="Times New Roman"/>
                <w:bCs/>
                <w:vertAlign w:val="superscript"/>
              </w:rPr>
              <w:t>rd</w:t>
            </w:r>
            <w:r w:rsidR="004033E1" w:rsidRPr="000946E7">
              <w:rPr>
                <w:rFonts w:ascii="Times New Roman" w:hAnsi="Times New Roman"/>
                <w:bCs/>
              </w:rPr>
              <w:t xml:space="preserve"> Reading)</w:t>
            </w:r>
          </w:p>
          <w:p w14:paraId="66EC17FF" w14:textId="5B8E28AE" w:rsidR="008E1478" w:rsidRDefault="008E1478" w:rsidP="004033E1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A10EEB4" w14:textId="3306F69A" w:rsidR="008E1478" w:rsidRDefault="008E1478" w:rsidP="008E1478">
            <w:pPr>
              <w:pStyle w:val="PlainText"/>
              <w:rPr>
                <w:rFonts w:ascii="Times New Roman" w:hAnsi="Times New Roman"/>
                <w:bCs/>
              </w:rPr>
            </w:pP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o Extend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f Printing Services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rom Admiral Products, Inc.,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1478">
              <w:rPr>
                <w:rFonts w:ascii="Times New Roman" w:hAnsi="Times New Roman"/>
                <w:bCs/>
              </w:rPr>
              <w:t>(</w:t>
            </w:r>
            <w:r w:rsidR="004033E1">
              <w:rPr>
                <w:rFonts w:ascii="Times New Roman" w:hAnsi="Times New Roman"/>
                <w:bCs/>
              </w:rPr>
              <w:t>2</w:t>
            </w:r>
            <w:r w:rsidR="004033E1" w:rsidRPr="004033E1">
              <w:rPr>
                <w:rFonts w:ascii="Times New Roman" w:hAnsi="Times New Roman"/>
                <w:bCs/>
                <w:vertAlign w:val="superscript"/>
              </w:rPr>
              <w:t>nd</w:t>
            </w:r>
            <w:r w:rsidRPr="008E1478">
              <w:rPr>
                <w:rFonts w:ascii="Times New Roman" w:hAnsi="Times New Roman"/>
                <w:bCs/>
              </w:rPr>
              <w:t xml:space="preserve"> Reading)</w:t>
            </w:r>
          </w:p>
          <w:p w14:paraId="36A3C6AA" w14:textId="77777777" w:rsidR="004315DE" w:rsidRDefault="004315DE" w:rsidP="008E1478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325E45" w14:textId="4149B51A" w:rsidR="004315DE" w:rsidRDefault="004315DE" w:rsidP="008E1478">
            <w:pPr>
              <w:pStyle w:val="PlainText"/>
              <w:rPr>
                <w:rFonts w:ascii="Times New Roman" w:hAnsi="Times New Roman"/>
                <w:bCs/>
              </w:rPr>
            </w:pPr>
            <w:r w:rsidRPr="004315DE">
              <w:rPr>
                <w:rFonts w:ascii="Times New Roman" w:hAnsi="Times New Roman"/>
                <w:bCs/>
                <w:sz w:val="24"/>
                <w:szCs w:val="24"/>
              </w:rPr>
              <w:t xml:space="preserve">A Resolution Accepting the Alternative Tax Budget Information of the City of Rocky River, Ohio for the Fiscal year Commencing January 1, 2024 as Further Described in the Attached Exhibit “A” </w:t>
            </w:r>
            <w:r w:rsidR="004033E1" w:rsidRPr="008E1478">
              <w:rPr>
                <w:rFonts w:ascii="Times New Roman" w:hAnsi="Times New Roman"/>
                <w:bCs/>
              </w:rPr>
              <w:t>(</w:t>
            </w:r>
            <w:r w:rsidR="004033E1">
              <w:rPr>
                <w:rFonts w:ascii="Times New Roman" w:hAnsi="Times New Roman"/>
                <w:bCs/>
              </w:rPr>
              <w:t>2</w:t>
            </w:r>
            <w:r w:rsidR="004033E1" w:rsidRPr="004033E1">
              <w:rPr>
                <w:rFonts w:ascii="Times New Roman" w:hAnsi="Times New Roman"/>
                <w:bCs/>
                <w:vertAlign w:val="superscript"/>
              </w:rPr>
              <w:t>nd</w:t>
            </w:r>
            <w:r w:rsidR="004033E1" w:rsidRPr="008E1478">
              <w:rPr>
                <w:rFonts w:ascii="Times New Roman" w:hAnsi="Times New Roman"/>
                <w:bCs/>
              </w:rPr>
              <w:t xml:space="preserve"> Reading)</w:t>
            </w:r>
          </w:p>
          <w:p w14:paraId="2511933A" w14:textId="77777777" w:rsidR="004315DE" w:rsidRDefault="004315DE" w:rsidP="008E1478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619979F1" w14:textId="28CB740A" w:rsidR="004315DE" w:rsidRDefault="004315DE" w:rsidP="008E1478">
            <w:pPr>
              <w:pStyle w:val="PlainTex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 Emergency Ordinance Amending Amended Ordinance 76-2</w:t>
            </w:r>
            <w:r w:rsidR="002A300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for Positions and Fixin</w:t>
            </w:r>
            <w:r w:rsidR="004033E1"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or Establishing the Annual Salaries and Hourly Rates </w:t>
            </w:r>
            <w:r w:rsidR="002A300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ommencing January 1, 2023 for the Appointed Employees in the Several Divisions and Departments of the City of Rocky River </w:t>
            </w:r>
            <w:r w:rsidR="004033E1" w:rsidRPr="008E1478">
              <w:rPr>
                <w:rFonts w:ascii="Times New Roman" w:hAnsi="Times New Roman"/>
                <w:bCs/>
              </w:rPr>
              <w:t>(</w:t>
            </w:r>
            <w:r w:rsidR="004033E1">
              <w:rPr>
                <w:rFonts w:ascii="Times New Roman" w:hAnsi="Times New Roman"/>
                <w:bCs/>
              </w:rPr>
              <w:t>2</w:t>
            </w:r>
            <w:r w:rsidR="004033E1" w:rsidRPr="004033E1">
              <w:rPr>
                <w:rFonts w:ascii="Times New Roman" w:hAnsi="Times New Roman"/>
                <w:bCs/>
                <w:vertAlign w:val="superscript"/>
              </w:rPr>
              <w:t>nd</w:t>
            </w:r>
            <w:r w:rsidR="004033E1" w:rsidRPr="008E1478">
              <w:rPr>
                <w:rFonts w:ascii="Times New Roman" w:hAnsi="Times New Roman"/>
                <w:bCs/>
              </w:rPr>
              <w:t xml:space="preserve"> Reading)</w:t>
            </w:r>
          </w:p>
          <w:p w14:paraId="727CCD51" w14:textId="77777777" w:rsidR="004033E1" w:rsidRPr="004315DE" w:rsidRDefault="004033E1" w:rsidP="008E1478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BD820E" w14:textId="77777777" w:rsidR="004033E1" w:rsidRDefault="004033E1" w:rsidP="004033E1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68EF4E23" w14:textId="77777777" w:rsidR="000946E7" w:rsidRDefault="000946E7" w:rsidP="00C002BE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52BF352" w14:textId="7A5DB0B8" w:rsidR="000946E7" w:rsidRPr="002F6D66" w:rsidRDefault="002F6D66" w:rsidP="002F6D66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>A Resolution Establishing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</w:t>
            </w: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 xml:space="preserve">hat Rocky River City Council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>hall Recess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 xml:space="preserve">During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 xml:space="preserve">he Month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 xml:space="preserve">f August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>n 2023</w:t>
            </w:r>
            <w:r w:rsidR="008965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9654C" w:rsidRPr="0089654C">
              <w:rPr>
                <w:rFonts w:ascii="Times New Roman" w:hAnsi="Times New Roman"/>
                <w:bCs/>
              </w:rPr>
              <w:t>(1</w:t>
            </w:r>
            <w:r w:rsidR="0089654C" w:rsidRPr="0089654C">
              <w:rPr>
                <w:rFonts w:ascii="Times New Roman" w:hAnsi="Times New Roman"/>
                <w:bCs/>
                <w:vertAlign w:val="superscript"/>
              </w:rPr>
              <w:t>st</w:t>
            </w:r>
            <w:r w:rsidR="0089654C" w:rsidRPr="0089654C">
              <w:rPr>
                <w:rFonts w:ascii="Times New Roman" w:hAnsi="Times New Roman"/>
                <w:bCs/>
              </w:rPr>
              <w:t xml:space="preserve"> Reading)</w:t>
            </w:r>
          </w:p>
          <w:p w14:paraId="5DB75296" w14:textId="77777777" w:rsidR="00C002BE" w:rsidRPr="00334D23" w:rsidRDefault="00C002BE" w:rsidP="00E61E42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3752E93B" w14:textId="1AB30395" w:rsidR="00E61E42" w:rsidRDefault="00E05809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A Resolution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he Certification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f Delinquent Sanitary Sewer Accounts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he Cuyahoga County Fiscal Officer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or Collection,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n Accordance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he Laws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he State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f Ohio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 w:cs="Times New Roman"/>
                <w:sz w:val="24"/>
                <w:szCs w:val="24"/>
              </w:rPr>
              <w:t>he Attached Exhibit “A”</w:t>
            </w:r>
            <w:r w:rsidR="0089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54C" w:rsidRPr="0089654C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="0089654C" w:rsidRPr="0089654C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="0089654C" w:rsidRPr="0089654C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249C4CCA" w14:textId="77777777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11D27" w14:textId="2AA16495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o Change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he Zoning Classification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f Certain Real Properties Known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s Auditor’s Permanent Parcel Nos. 301-17-082, 301-17-083, 301-17-048,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nd 301-17-084,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rom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heir Present Classification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f S</w:t>
            </w:r>
            <w:r w:rsidR="00243C32" w:rsidRPr="0089654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-Service Manufacturing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o O</w:t>
            </w:r>
            <w:r w:rsidR="00243C32" w:rsidRPr="0089654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-2-Office,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54C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Pr="0089654C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Pr="0089654C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4E93BA1" w14:textId="77777777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0537F" w14:textId="7D0E2A00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nd Director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f Public Safety Service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 Contract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ith F. P. </w:t>
            </w:r>
            <w:proofErr w:type="spellStart"/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Allega</w:t>
            </w:r>
            <w:proofErr w:type="spellEnd"/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 Concrete Construction Corporation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he 2023 Sidewalk Program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n Amount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o Exceed $250,800.00,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54C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Pr="0089654C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Pr="0089654C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14:paraId="55B33493" w14:textId="77777777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53A45" w14:textId="3400ADEB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nd Director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f Public Safety Service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 Contract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ith Northeast Ohio Trenching Services, Inc.,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he Rocky River Park Overlook Deck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n Amount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o Exceed $237,000.00,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54C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Pr="0089654C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Pr="0089654C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7B4F37F8" w14:textId="77777777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5C6BC" w14:textId="1193F04C" w:rsidR="0089654C" w:rsidRPr="00D530EA" w:rsidRDefault="0089654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o Make Supplemental Appropriations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he Current Expenses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he City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f Rocky River, Ohio, During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he Fiscal Year Ending December 31,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 xml:space="preserve">o Amend Amended Ordinance No. 77-22 </w:t>
            </w:r>
            <w:r w:rsidR="00243C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 w:cs="Times New Roman"/>
                <w:sz w:val="24"/>
                <w:szCs w:val="24"/>
              </w:rPr>
              <w:t>nd Amended Ordinance No. 17-23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54C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Pr="0089654C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Pr="0089654C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7C2870A4" w14:textId="546482AA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1133" w14:textId="77777777" w:rsidR="00E61E42" w:rsidRDefault="00E61E42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7760E" w14:textId="691E4603" w:rsidR="00334D23" w:rsidRDefault="00334D23" w:rsidP="00C00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E5189" w14:textId="007188B5" w:rsidR="00334D23" w:rsidRDefault="00334D2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04F23208" w14:textId="77777777" w:rsidR="00334D23" w:rsidRDefault="00334D2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F716D" w14:textId="77777777" w:rsidR="00334D23" w:rsidRDefault="00334D2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3EE4A" w14:textId="77777777" w:rsidR="00334D23" w:rsidRDefault="00334D2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23BE" w14:textId="77777777" w:rsidR="00334D23" w:rsidRDefault="00334D2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FDD7B" w14:textId="77777777" w:rsidR="00334D23" w:rsidRDefault="00334D23" w:rsidP="0033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248AB" w14:textId="77777777" w:rsidR="000946E7" w:rsidRDefault="000946E7" w:rsidP="00334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5AE41" w14:textId="65796D0D" w:rsidR="00334D23" w:rsidRDefault="000946E7" w:rsidP="00334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  <w:proofErr w:type="spellEnd"/>
          </w:p>
          <w:p w14:paraId="428ECC98" w14:textId="7B4BC658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52A16" w14:textId="522C5B3E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53DC8" w14:textId="660FD67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08B3" w14:textId="17EE709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B031" w14:textId="77777777" w:rsidR="00840E3D" w:rsidRDefault="00840E3D" w:rsidP="0049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56DBA" w14:textId="77777777" w:rsidR="00153D31" w:rsidRDefault="00153D31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7FDA2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552B8" w14:textId="77777777" w:rsidR="00C002BE" w:rsidRDefault="00C002BE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7D2AA" w14:textId="77777777" w:rsidR="004033E1" w:rsidRDefault="004033E1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3E965" w14:textId="2CC62289" w:rsidR="00C002BE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344184C8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BEE17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F980F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A058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BE71D" w14:textId="77777777" w:rsidR="008E1478" w:rsidRDefault="008E1478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A69B1" w14:textId="53FF414D" w:rsidR="008E1478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77351C53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30828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DB064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B1A5E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AAFE1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F20E4" w14:textId="1A0ECAA3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148F4A88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89EE8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19FDB" w14:textId="77777777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AF6B2" w14:textId="77777777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195E6" w14:textId="77777777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3AD0D" w14:textId="77777777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0465F" w14:textId="77777777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9AF49" w14:textId="77777777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BE173" w14:textId="77777777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5E760" w14:textId="1363FEFE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Council Members</w:t>
            </w:r>
          </w:p>
          <w:p w14:paraId="2F72A555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6A58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2A4E" w14:textId="4A95D717" w:rsidR="004315DE" w:rsidRDefault="00E05809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2B9DF90A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14E49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84AA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8E64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CE2D7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DD0C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D2C4E" w14:textId="15F954FA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713CE9C8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279B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D223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4E0BA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6EEC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1ED82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9781D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13330" w14:textId="5AE7C57B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1381655F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C6DB1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32C27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3454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AE3ED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2CDF3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C4BF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7CDFB" w14:textId="03C7CEE2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106AF760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F8D37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A6661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7CC3D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E868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C404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45DF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7A77E" w14:textId="36E06542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5224F9A5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82E9B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11C6C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602F" w14:textId="77777777" w:rsidR="00C002BE" w:rsidRDefault="00C002BE" w:rsidP="00431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6736" w14:textId="77777777" w:rsidR="004315DE" w:rsidRDefault="004315DE" w:rsidP="00431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31BD8" w14:textId="304333F4" w:rsidR="00D530EA" w:rsidRDefault="00D530EA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91D11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454C5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B1ED4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11064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B7241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A02EC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B22A7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8EAA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348E3" w14:textId="77777777" w:rsidR="00A75CA9" w:rsidRDefault="00A75CA9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5A092" w14:textId="0BE36718" w:rsidR="00A75CA9" w:rsidRDefault="00A75CA9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FBFCD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F62E1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B2828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21E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045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46662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F8E1" w14:textId="3902A32B" w:rsidR="00855154" w:rsidRDefault="00855154" w:rsidP="0050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9B54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3328" w14:textId="77777777" w:rsidR="00855154" w:rsidRDefault="00855154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C577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AA3E" w14:textId="77777777" w:rsidR="00513BAB" w:rsidRDefault="00513BA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E6D13" w14:textId="77777777" w:rsidR="00513BAB" w:rsidRDefault="00513BAB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FF53" w14:textId="226DDA1C" w:rsidR="00855154" w:rsidRPr="00274D55" w:rsidRDefault="0085515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9379" w14:textId="77777777" w:rsidR="00852590" w:rsidRDefault="00852590" w:rsidP="00B61803">
      <w:pPr>
        <w:spacing w:after="0" w:line="240" w:lineRule="auto"/>
      </w:pPr>
      <w:r>
        <w:separator/>
      </w:r>
    </w:p>
  </w:endnote>
  <w:endnote w:type="continuationSeparator" w:id="0">
    <w:p w14:paraId="0979C0D1" w14:textId="77777777" w:rsidR="00852590" w:rsidRDefault="00852590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9195" w14:textId="77777777" w:rsidR="00852590" w:rsidRDefault="00852590" w:rsidP="00B61803">
      <w:pPr>
        <w:spacing w:after="0" w:line="240" w:lineRule="auto"/>
      </w:pPr>
      <w:r>
        <w:separator/>
      </w:r>
    </w:p>
  </w:footnote>
  <w:footnote w:type="continuationSeparator" w:id="0">
    <w:p w14:paraId="2385A2E7" w14:textId="77777777" w:rsidR="00852590" w:rsidRDefault="00852590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2F54"/>
    <w:rsid w:val="00033F3F"/>
    <w:rsid w:val="0003478F"/>
    <w:rsid w:val="00035440"/>
    <w:rsid w:val="00035737"/>
    <w:rsid w:val="00040E46"/>
    <w:rsid w:val="00041C3C"/>
    <w:rsid w:val="00043817"/>
    <w:rsid w:val="0004383F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0C2"/>
    <w:rsid w:val="00083743"/>
    <w:rsid w:val="000853F6"/>
    <w:rsid w:val="00085D13"/>
    <w:rsid w:val="00090A19"/>
    <w:rsid w:val="000916BD"/>
    <w:rsid w:val="00091F7E"/>
    <w:rsid w:val="00093134"/>
    <w:rsid w:val="000946E7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514"/>
    <w:rsid w:val="000C6612"/>
    <w:rsid w:val="000C75B8"/>
    <w:rsid w:val="000C77F0"/>
    <w:rsid w:val="000D00F4"/>
    <w:rsid w:val="000D0418"/>
    <w:rsid w:val="000D144C"/>
    <w:rsid w:val="000D36A3"/>
    <w:rsid w:val="000D4021"/>
    <w:rsid w:val="000D51E0"/>
    <w:rsid w:val="000D585B"/>
    <w:rsid w:val="000D5A76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28EC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978BE"/>
    <w:rsid w:val="001A3689"/>
    <w:rsid w:val="001A40B7"/>
    <w:rsid w:val="001A4D3B"/>
    <w:rsid w:val="001A7E93"/>
    <w:rsid w:val="001B19FD"/>
    <w:rsid w:val="001B2151"/>
    <w:rsid w:val="001B352A"/>
    <w:rsid w:val="001B46A3"/>
    <w:rsid w:val="001B4CE1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2FB2"/>
    <w:rsid w:val="001F3598"/>
    <w:rsid w:val="001F4113"/>
    <w:rsid w:val="001F4922"/>
    <w:rsid w:val="001F4BDB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3A10"/>
    <w:rsid w:val="0022573B"/>
    <w:rsid w:val="002259E1"/>
    <w:rsid w:val="0022780D"/>
    <w:rsid w:val="00235CBE"/>
    <w:rsid w:val="00235EB9"/>
    <w:rsid w:val="00236B49"/>
    <w:rsid w:val="002377D2"/>
    <w:rsid w:val="00241664"/>
    <w:rsid w:val="00241708"/>
    <w:rsid w:val="00243C32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450D"/>
    <w:rsid w:val="00265B54"/>
    <w:rsid w:val="00266AB4"/>
    <w:rsid w:val="00267055"/>
    <w:rsid w:val="00267F84"/>
    <w:rsid w:val="00270F00"/>
    <w:rsid w:val="00271B4B"/>
    <w:rsid w:val="002741F8"/>
    <w:rsid w:val="00274298"/>
    <w:rsid w:val="00274D55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97E74"/>
    <w:rsid w:val="002A0420"/>
    <w:rsid w:val="002A07C4"/>
    <w:rsid w:val="002A0EB6"/>
    <w:rsid w:val="002A3003"/>
    <w:rsid w:val="002A387A"/>
    <w:rsid w:val="002A4301"/>
    <w:rsid w:val="002A448F"/>
    <w:rsid w:val="002A4B37"/>
    <w:rsid w:val="002A6F9D"/>
    <w:rsid w:val="002B1ECA"/>
    <w:rsid w:val="002B367E"/>
    <w:rsid w:val="002B436B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2F6D66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4D23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576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0E41"/>
    <w:rsid w:val="003A183D"/>
    <w:rsid w:val="003A37A1"/>
    <w:rsid w:val="003A3A82"/>
    <w:rsid w:val="003A4BFB"/>
    <w:rsid w:val="003A4CD0"/>
    <w:rsid w:val="003A4D50"/>
    <w:rsid w:val="003A51F8"/>
    <w:rsid w:val="003A7116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985"/>
    <w:rsid w:val="003D2E07"/>
    <w:rsid w:val="003D39FA"/>
    <w:rsid w:val="003D3C80"/>
    <w:rsid w:val="003D3DBA"/>
    <w:rsid w:val="003D4301"/>
    <w:rsid w:val="003D478E"/>
    <w:rsid w:val="003D4881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3E1"/>
    <w:rsid w:val="0040389A"/>
    <w:rsid w:val="00410BD3"/>
    <w:rsid w:val="00410CBE"/>
    <w:rsid w:val="00411933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4C4"/>
    <w:rsid w:val="004279B8"/>
    <w:rsid w:val="00430638"/>
    <w:rsid w:val="00431588"/>
    <w:rsid w:val="004315DE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4BE8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563C9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0E47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3BCF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4944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0FEA"/>
    <w:rsid w:val="00501A5D"/>
    <w:rsid w:val="005025FE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3BAB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27F3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1EEB"/>
    <w:rsid w:val="00586C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945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0AEA"/>
    <w:rsid w:val="005E1459"/>
    <w:rsid w:val="005E156B"/>
    <w:rsid w:val="005E31FB"/>
    <w:rsid w:val="005E3C33"/>
    <w:rsid w:val="005E5B66"/>
    <w:rsid w:val="005E6622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5F0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0B"/>
    <w:rsid w:val="0063755E"/>
    <w:rsid w:val="0064029B"/>
    <w:rsid w:val="00641C41"/>
    <w:rsid w:val="00642CBA"/>
    <w:rsid w:val="00644044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4420"/>
    <w:rsid w:val="00695424"/>
    <w:rsid w:val="0069561A"/>
    <w:rsid w:val="00696CAC"/>
    <w:rsid w:val="006A133E"/>
    <w:rsid w:val="006A3A18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57AD0"/>
    <w:rsid w:val="0076342E"/>
    <w:rsid w:val="00763CBA"/>
    <w:rsid w:val="00764BC8"/>
    <w:rsid w:val="00765019"/>
    <w:rsid w:val="007661DF"/>
    <w:rsid w:val="00767028"/>
    <w:rsid w:val="007705AB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05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1F2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0E3D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590"/>
    <w:rsid w:val="0085280D"/>
    <w:rsid w:val="0085357A"/>
    <w:rsid w:val="00855154"/>
    <w:rsid w:val="00857A62"/>
    <w:rsid w:val="00860942"/>
    <w:rsid w:val="00861C02"/>
    <w:rsid w:val="00861E1D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040B"/>
    <w:rsid w:val="0088142E"/>
    <w:rsid w:val="008814E2"/>
    <w:rsid w:val="0088197C"/>
    <w:rsid w:val="00884744"/>
    <w:rsid w:val="008847D7"/>
    <w:rsid w:val="00885AC4"/>
    <w:rsid w:val="00885EE9"/>
    <w:rsid w:val="008873BB"/>
    <w:rsid w:val="00890928"/>
    <w:rsid w:val="00890B62"/>
    <w:rsid w:val="0089366C"/>
    <w:rsid w:val="008941EB"/>
    <w:rsid w:val="00894928"/>
    <w:rsid w:val="0089534C"/>
    <w:rsid w:val="0089654C"/>
    <w:rsid w:val="00896709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1478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45C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793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2B5E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B6F4C"/>
    <w:rsid w:val="009B7E21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623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2183"/>
    <w:rsid w:val="00A134C7"/>
    <w:rsid w:val="00A13621"/>
    <w:rsid w:val="00A13C6D"/>
    <w:rsid w:val="00A15402"/>
    <w:rsid w:val="00A15E99"/>
    <w:rsid w:val="00A17917"/>
    <w:rsid w:val="00A17F5E"/>
    <w:rsid w:val="00A2071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67923"/>
    <w:rsid w:val="00A70BE2"/>
    <w:rsid w:val="00A70C51"/>
    <w:rsid w:val="00A72D3A"/>
    <w:rsid w:val="00A73178"/>
    <w:rsid w:val="00A73289"/>
    <w:rsid w:val="00A75954"/>
    <w:rsid w:val="00A759CD"/>
    <w:rsid w:val="00A75CA9"/>
    <w:rsid w:val="00A8075A"/>
    <w:rsid w:val="00A81391"/>
    <w:rsid w:val="00A82DEC"/>
    <w:rsid w:val="00A83763"/>
    <w:rsid w:val="00A8546D"/>
    <w:rsid w:val="00A903A8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1F5B"/>
    <w:rsid w:val="00AA32BC"/>
    <w:rsid w:val="00AA3860"/>
    <w:rsid w:val="00AA405F"/>
    <w:rsid w:val="00AA6026"/>
    <w:rsid w:val="00AA69C8"/>
    <w:rsid w:val="00AA6BC4"/>
    <w:rsid w:val="00AA7AAB"/>
    <w:rsid w:val="00AA7CFD"/>
    <w:rsid w:val="00AB0872"/>
    <w:rsid w:val="00AB1B3B"/>
    <w:rsid w:val="00AB1CB4"/>
    <w:rsid w:val="00AB2E8B"/>
    <w:rsid w:val="00AB3495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24B4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5AE"/>
    <w:rsid w:val="00B036A5"/>
    <w:rsid w:val="00B03736"/>
    <w:rsid w:val="00B0533C"/>
    <w:rsid w:val="00B06436"/>
    <w:rsid w:val="00B066E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0141"/>
    <w:rsid w:val="00B770B1"/>
    <w:rsid w:val="00B7728F"/>
    <w:rsid w:val="00B81266"/>
    <w:rsid w:val="00B814C5"/>
    <w:rsid w:val="00B81F36"/>
    <w:rsid w:val="00B832C7"/>
    <w:rsid w:val="00B83644"/>
    <w:rsid w:val="00B83CF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AED"/>
    <w:rsid w:val="00BE7FF3"/>
    <w:rsid w:val="00BF0EE2"/>
    <w:rsid w:val="00BF1528"/>
    <w:rsid w:val="00BF1BB6"/>
    <w:rsid w:val="00BF621A"/>
    <w:rsid w:val="00BF7209"/>
    <w:rsid w:val="00BF7A49"/>
    <w:rsid w:val="00C002BE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3FB2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1AB7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C5134"/>
    <w:rsid w:val="00CD0514"/>
    <w:rsid w:val="00CD30E8"/>
    <w:rsid w:val="00CD37B9"/>
    <w:rsid w:val="00CD4072"/>
    <w:rsid w:val="00CD4106"/>
    <w:rsid w:val="00CE0312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302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3793"/>
    <w:rsid w:val="00D14AFF"/>
    <w:rsid w:val="00D14DA6"/>
    <w:rsid w:val="00D154EF"/>
    <w:rsid w:val="00D15A29"/>
    <w:rsid w:val="00D15B5A"/>
    <w:rsid w:val="00D16A82"/>
    <w:rsid w:val="00D17187"/>
    <w:rsid w:val="00D173F0"/>
    <w:rsid w:val="00D20C58"/>
    <w:rsid w:val="00D21047"/>
    <w:rsid w:val="00D223B9"/>
    <w:rsid w:val="00D23EEC"/>
    <w:rsid w:val="00D25C6F"/>
    <w:rsid w:val="00D26831"/>
    <w:rsid w:val="00D270E1"/>
    <w:rsid w:val="00D27529"/>
    <w:rsid w:val="00D27B9A"/>
    <w:rsid w:val="00D3275C"/>
    <w:rsid w:val="00D32DB0"/>
    <w:rsid w:val="00D32FEF"/>
    <w:rsid w:val="00D352A3"/>
    <w:rsid w:val="00D373A9"/>
    <w:rsid w:val="00D45857"/>
    <w:rsid w:val="00D45F0C"/>
    <w:rsid w:val="00D45F36"/>
    <w:rsid w:val="00D47E15"/>
    <w:rsid w:val="00D530EA"/>
    <w:rsid w:val="00D535E5"/>
    <w:rsid w:val="00D56144"/>
    <w:rsid w:val="00D56CD5"/>
    <w:rsid w:val="00D607D8"/>
    <w:rsid w:val="00D62309"/>
    <w:rsid w:val="00D62853"/>
    <w:rsid w:val="00D62D84"/>
    <w:rsid w:val="00D66179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392"/>
    <w:rsid w:val="00DA288B"/>
    <w:rsid w:val="00DA2B76"/>
    <w:rsid w:val="00DA3BD0"/>
    <w:rsid w:val="00DA4EED"/>
    <w:rsid w:val="00DA5BD0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608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644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5809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5F83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1E42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A74D9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1FC4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48D"/>
    <w:rsid w:val="00FB47EE"/>
    <w:rsid w:val="00FB4D22"/>
    <w:rsid w:val="00FB5BB5"/>
    <w:rsid w:val="00FB75A6"/>
    <w:rsid w:val="00FC1868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343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7480-EAE4-42F3-860A-E71422A4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9</cp:revision>
  <cp:lastPrinted>2023-06-27T01:07:00Z</cp:lastPrinted>
  <dcterms:created xsi:type="dcterms:W3CDTF">2023-06-13T17:16:00Z</dcterms:created>
  <dcterms:modified xsi:type="dcterms:W3CDTF">2023-06-27T14:49:00Z</dcterms:modified>
</cp:coreProperties>
</file>